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06136" w14:textId="77777777" w:rsidR="00960EDF" w:rsidRDefault="00960EDF"/>
    <w:p w14:paraId="1FBE1881" w14:textId="77777777" w:rsidR="00D4446F" w:rsidRDefault="00D4446F"/>
    <w:p w14:paraId="5ABED611" w14:textId="5DCA5944" w:rsidR="00D4446F" w:rsidRDefault="00D4446F" w:rsidP="00926134">
      <w:pPr>
        <w:jc w:val="both"/>
      </w:pPr>
      <w:r w:rsidRPr="00926134">
        <w:rPr>
          <w:b/>
          <w:sz w:val="24"/>
          <w:szCs w:val="24"/>
        </w:rPr>
        <w:t>Assumpte:</w:t>
      </w:r>
      <w:r w:rsidR="00926134">
        <w:t xml:space="preserve"> Responem l’Informe Tècnic emè</w:t>
      </w:r>
      <w:r>
        <w:t>s per l’Enginyer Tècnic Municipal, referent a la sol·licitud de moratòria referent a la implantació de la tecnologia 5G</w:t>
      </w:r>
      <w:r w:rsidR="00AC3C24">
        <w:t>.</w:t>
      </w:r>
    </w:p>
    <w:p w14:paraId="606ACC83" w14:textId="77777777" w:rsidR="00AC3C24" w:rsidRDefault="00AC3C24" w:rsidP="00926134">
      <w:pPr>
        <w:jc w:val="both"/>
      </w:pPr>
    </w:p>
    <w:p w14:paraId="56064FBC" w14:textId="6A1FC8E4" w:rsidR="00D4446F" w:rsidRDefault="00D4446F" w:rsidP="00926134">
      <w:pPr>
        <w:jc w:val="both"/>
      </w:pPr>
      <w:r>
        <w:t xml:space="preserve">Per a la seva informació,  </w:t>
      </w:r>
      <w:r w:rsidR="00B63596">
        <w:t>expressem</w:t>
      </w:r>
      <w:r>
        <w:t xml:space="preserve"> i argumentem la nostra disconformitat amb les raons </w:t>
      </w:r>
      <w:r w:rsidR="00B63596">
        <w:t xml:space="preserve">que ens </w:t>
      </w:r>
      <w:r w:rsidR="001F510A">
        <w:t>transmeteu</w:t>
      </w:r>
      <w:r w:rsidR="00B63596">
        <w:t xml:space="preserve"> </w:t>
      </w:r>
      <w:r>
        <w:t xml:space="preserve"> </w:t>
      </w:r>
      <w:r w:rsidR="00B63596">
        <w:t xml:space="preserve">que justifiquen que no atengueu </w:t>
      </w:r>
      <w:r>
        <w:t xml:space="preserve"> cap de les nostres peticions, </w:t>
      </w:r>
    </w:p>
    <w:p w14:paraId="4B2DB47D" w14:textId="77777777" w:rsidR="00D4446F" w:rsidRDefault="00D4446F" w:rsidP="00926134">
      <w:pPr>
        <w:jc w:val="both"/>
      </w:pPr>
    </w:p>
    <w:p w14:paraId="33720D68" w14:textId="77777777" w:rsidR="00904FF4" w:rsidRDefault="00904FF4" w:rsidP="00926134">
      <w:pPr>
        <w:spacing w:after="120" w:line="240" w:lineRule="exact"/>
        <w:jc w:val="both"/>
      </w:pPr>
      <w:r>
        <w:rPr>
          <w:b/>
          <w:sz w:val="24"/>
          <w:szCs w:val="24"/>
        </w:rPr>
        <w:t>1</w:t>
      </w:r>
      <w:r w:rsidRPr="00F7596F">
        <w:rPr>
          <w:b/>
          <w:sz w:val="24"/>
          <w:szCs w:val="24"/>
        </w:rPr>
        <w:t>.-</w:t>
      </w:r>
      <w:r>
        <w:rPr>
          <w:b/>
          <w:sz w:val="24"/>
          <w:szCs w:val="24"/>
        </w:rPr>
        <w:t xml:space="preserve"> </w:t>
      </w:r>
      <w:r>
        <w:rPr>
          <w:b/>
          <w:sz w:val="24"/>
          <w:szCs w:val="24"/>
        </w:rPr>
        <w:tab/>
      </w:r>
      <w:r w:rsidRPr="00F7596F">
        <w:rPr>
          <w:b/>
          <w:sz w:val="24"/>
          <w:szCs w:val="24"/>
        </w:rPr>
        <w:t>En quan</w:t>
      </w:r>
      <w:r>
        <w:rPr>
          <w:b/>
          <w:sz w:val="24"/>
          <w:szCs w:val="24"/>
        </w:rPr>
        <w:t xml:space="preserve">t a les </w:t>
      </w:r>
      <w:r w:rsidR="002D2717">
        <w:rPr>
          <w:b/>
          <w:sz w:val="24"/>
          <w:szCs w:val="24"/>
        </w:rPr>
        <w:t xml:space="preserve">Competències Municipals  </w:t>
      </w:r>
      <w:r w:rsidR="002D2717" w:rsidRPr="002D2717">
        <w:t xml:space="preserve">Encara </w:t>
      </w:r>
      <w:r w:rsidR="002D2717">
        <w:t>que l’Ajuntament no tingui competències en telecomunicacions, creiem que seria bo conèixer els pros i contres d’aquesta tecnologia que es pretén implantar al nostre municipi.</w:t>
      </w:r>
    </w:p>
    <w:p w14:paraId="39791B22" w14:textId="77777777" w:rsidR="00790596" w:rsidRDefault="00FC0465" w:rsidP="00926134">
      <w:pPr>
        <w:spacing w:after="120" w:line="240" w:lineRule="exact"/>
        <w:jc w:val="both"/>
      </w:pPr>
      <w:r>
        <w:t>H</w:t>
      </w:r>
      <w:r w:rsidR="00790596">
        <w:t xml:space="preserve">i ha diferents estudis </w:t>
      </w:r>
      <w:r>
        <w:t xml:space="preserve">científics </w:t>
      </w:r>
      <w:r w:rsidR="00790596">
        <w:t>que alerten dels probables riscos cancerígens amb l’ús d’aquesta tecnologia</w:t>
      </w:r>
      <w:r>
        <w:t>, com el publicat per el “Centro Nacional de Información Biotecnológica a la Biblioteca Nacional de Medicina de la EUA”</w:t>
      </w:r>
      <w:r w:rsidR="00B52847">
        <w:t xml:space="preserve"> amb data 22/01/2020, del qual adjuntem traducció.</w:t>
      </w:r>
    </w:p>
    <w:p w14:paraId="7612C4B6" w14:textId="77777777" w:rsidR="00FC0465" w:rsidRDefault="00AC3C24" w:rsidP="00926134">
      <w:pPr>
        <w:spacing w:after="120" w:line="240" w:lineRule="exact"/>
        <w:jc w:val="both"/>
        <w:rPr>
          <w:b/>
          <w:sz w:val="24"/>
          <w:szCs w:val="24"/>
        </w:rPr>
      </w:pPr>
      <w:hyperlink r:id="rId6" w:history="1">
        <w:r w:rsidR="00FC0465" w:rsidRPr="00CD0873">
          <w:rPr>
            <w:rStyle w:val="Hipervnculo"/>
          </w:rPr>
          <w:t>https://www.ncbi.nlm.nih.gov/pmc/articles/PMC7016513/#b1-mco-0-0-1984</w:t>
        </w:r>
      </w:hyperlink>
    </w:p>
    <w:p w14:paraId="49116065" w14:textId="77777777" w:rsidR="00D4446F" w:rsidRDefault="00D4446F" w:rsidP="00926134">
      <w:pPr>
        <w:jc w:val="both"/>
      </w:pPr>
    </w:p>
    <w:p w14:paraId="3AABDA49" w14:textId="77777777" w:rsidR="005500C8" w:rsidRDefault="003D4687" w:rsidP="00926134">
      <w:pPr>
        <w:jc w:val="both"/>
      </w:pPr>
      <w:r w:rsidRPr="00F7596F">
        <w:rPr>
          <w:b/>
          <w:sz w:val="24"/>
          <w:szCs w:val="24"/>
        </w:rPr>
        <w:t>2.-</w:t>
      </w:r>
      <w:r w:rsidR="001F510A">
        <w:rPr>
          <w:b/>
          <w:sz w:val="24"/>
          <w:szCs w:val="24"/>
        </w:rPr>
        <w:t xml:space="preserve"> </w:t>
      </w:r>
      <w:r w:rsidRPr="00F7596F">
        <w:rPr>
          <w:b/>
          <w:sz w:val="24"/>
          <w:szCs w:val="24"/>
        </w:rPr>
        <w:t>En quan</w:t>
      </w:r>
      <w:r w:rsidR="001F510A">
        <w:rPr>
          <w:b/>
          <w:sz w:val="24"/>
          <w:szCs w:val="24"/>
        </w:rPr>
        <w:t>t</w:t>
      </w:r>
      <w:r w:rsidRPr="00F7596F">
        <w:rPr>
          <w:b/>
          <w:sz w:val="24"/>
          <w:szCs w:val="24"/>
        </w:rPr>
        <w:t xml:space="preserve"> a la Moratòria</w:t>
      </w:r>
      <w:r w:rsidR="001F510A">
        <w:rPr>
          <w:b/>
          <w:sz w:val="24"/>
          <w:szCs w:val="24"/>
        </w:rPr>
        <w:t xml:space="preserve"> </w:t>
      </w:r>
      <w:r>
        <w:t>Consideran</w:t>
      </w:r>
      <w:r w:rsidR="00F7596F">
        <w:t>t</w:t>
      </w:r>
      <w:r>
        <w:t xml:space="preserve"> que </w:t>
      </w:r>
      <w:r w:rsidR="00A178EC">
        <w:t xml:space="preserve">la </w:t>
      </w:r>
      <w:r w:rsidR="00F7596F">
        <w:t>salut</w:t>
      </w:r>
      <w:r w:rsidR="00A178EC">
        <w:t xml:space="preserve"> es un dret fonamental i </w:t>
      </w:r>
      <w:r w:rsidR="000050DC">
        <w:t xml:space="preserve">per tant </w:t>
      </w:r>
      <w:r w:rsidR="005500C8">
        <w:t xml:space="preserve">es un </w:t>
      </w:r>
      <w:r w:rsidR="00F7596F">
        <w:t>interès</w:t>
      </w:r>
      <w:r w:rsidR="005500C8">
        <w:t xml:space="preserve"> </w:t>
      </w:r>
      <w:r w:rsidR="000050DC">
        <w:t xml:space="preserve">a defensar per l’administració local. </w:t>
      </w:r>
      <w:r w:rsidR="005500C8">
        <w:t xml:space="preserve">(Art 137 de la CE)(1) </w:t>
      </w:r>
    </w:p>
    <w:p w14:paraId="6DE1E2F5" w14:textId="77777777" w:rsidR="00F7596F" w:rsidRDefault="00F7596F" w:rsidP="00926134">
      <w:pPr>
        <w:jc w:val="both"/>
      </w:pPr>
      <w:r>
        <w:t xml:space="preserve">Considerant que </w:t>
      </w:r>
      <w:r w:rsidR="003D4687">
        <w:t>L</w:t>
      </w:r>
      <w:r w:rsidR="001F510A">
        <w:t>lei</w:t>
      </w:r>
      <w:r w:rsidR="003D4687">
        <w:t xml:space="preserve">  General de Salut Publica 33/2011 </w:t>
      </w:r>
      <w:r>
        <w:t xml:space="preserve">, art 3. Quan parla de principis generals d’acció en salut pública i del principi de precaució no fa diferències entre les diferents </w:t>
      </w:r>
      <w:r w:rsidR="009A1105">
        <w:t>administracions</w:t>
      </w:r>
      <w:r>
        <w:t>. (2)</w:t>
      </w:r>
    </w:p>
    <w:p w14:paraId="0DCCB2F0" w14:textId="77777777" w:rsidR="00D4446F" w:rsidRDefault="009A1105" w:rsidP="00926134">
      <w:pPr>
        <w:jc w:val="both"/>
      </w:pPr>
      <w:r>
        <w:t>Considerant que l’Art. 11/2 de la L</w:t>
      </w:r>
      <w:r w:rsidR="001F510A">
        <w:t>lei 16/2003, de cohesió</w:t>
      </w:r>
      <w:r>
        <w:t xml:space="preserve"> y </w:t>
      </w:r>
      <w:r w:rsidR="001F510A">
        <w:t>qualitat</w:t>
      </w:r>
      <w:r>
        <w:t xml:space="preserve"> del sistema Nacional de Salud defineix “la prestació de salut pública” com </w:t>
      </w:r>
      <w:r w:rsidR="00982C71">
        <w:t>“</w:t>
      </w:r>
      <w:r>
        <w:t xml:space="preserve">la prevenció de malalties, </w:t>
      </w:r>
      <w:r w:rsidR="00982C71">
        <w:t>d</w:t>
      </w:r>
      <w:r>
        <w:t>i</w:t>
      </w:r>
      <w:r w:rsidR="001F510A">
        <w:t>s</w:t>
      </w:r>
      <w:r>
        <w:t>capacitat i lesions</w:t>
      </w:r>
      <w:r w:rsidR="00982C71">
        <w:t xml:space="preserve"> .</w:t>
      </w:r>
      <w:r>
        <w:t>.. evitant els efectes negatius que diversos elements de l’entorn poden tenir sobre la salut i benestar de les persones” y especifica “ to</w:t>
      </w:r>
      <w:r w:rsidR="00982C71">
        <w:t xml:space="preserve">tes les actuacions </w:t>
      </w:r>
      <w:r>
        <w:t>i mesures especials</w:t>
      </w:r>
      <w:r w:rsidR="000050DC">
        <w:t xml:space="preserve"> </w:t>
      </w:r>
      <w:r w:rsidR="00982C71">
        <w:t xml:space="preserve">que, en matèria de salut pública , calgui adoptar per les autoritats sanitàries de les diverses Administracions públiques...” </w:t>
      </w:r>
    </w:p>
    <w:p w14:paraId="00F96441" w14:textId="77777777" w:rsidR="00836EF8" w:rsidRDefault="00836EF8" w:rsidP="00926134">
      <w:pPr>
        <w:jc w:val="both"/>
      </w:pPr>
      <w:r>
        <w:t xml:space="preserve">Insistim en </w:t>
      </w:r>
      <w:r w:rsidR="00982C71">
        <w:t xml:space="preserve"> que l’Ajuntament s</w:t>
      </w:r>
      <w:r w:rsidR="001E0F78">
        <w:t>í</w:t>
      </w:r>
      <w:r w:rsidR="00982C71">
        <w:t xml:space="preserve"> que pot justificar l’aplicació d’una Moratòria </w:t>
      </w:r>
      <w:r w:rsidR="001E0F78">
        <w:t xml:space="preserve">per la </w:t>
      </w:r>
      <w:r w:rsidR="00982C71">
        <w:t xml:space="preserve">’implementació del 5G mentre  </w:t>
      </w:r>
      <w:r w:rsidR="001E0F78">
        <w:t xml:space="preserve">no es disposi dels estudis que permetin confirmar </w:t>
      </w:r>
      <w:r>
        <w:t xml:space="preserve">(la suposada) </w:t>
      </w:r>
      <w:r w:rsidR="001F510A">
        <w:t>iniquitat</w:t>
      </w:r>
      <w:r>
        <w:t>, que no esta fonamentada  en estudis. Aquest nou sistema i tecnologia s</w:t>
      </w:r>
      <w:r w:rsidR="001E0F78">
        <w:t xml:space="preserve">‘està </w:t>
      </w:r>
      <w:r w:rsidR="001B0D8E">
        <w:t xml:space="preserve">implementant amb unes característiques que no son les definitives </w:t>
      </w:r>
      <w:r w:rsidR="001E0F78">
        <w:t xml:space="preserve">(NSA) </w:t>
      </w:r>
      <w:r w:rsidR="001B0D8E">
        <w:t xml:space="preserve"> i</w:t>
      </w:r>
      <w:r w:rsidR="001E0F78">
        <w:t xml:space="preserve"> </w:t>
      </w:r>
      <w:r>
        <w:t xml:space="preserve">encara no saben </w:t>
      </w:r>
      <w:r w:rsidR="001E0F78">
        <w:t xml:space="preserve">com mesurar dons </w:t>
      </w:r>
      <w:r w:rsidR="001B0D8E">
        <w:t xml:space="preserve"> avançame</w:t>
      </w:r>
      <w:r>
        <w:t>n</w:t>
      </w:r>
      <w:r w:rsidR="001B0D8E">
        <w:t xml:space="preserve">ts </w:t>
      </w:r>
      <w:r w:rsidR="001F510A">
        <w:t>tecnològics</w:t>
      </w:r>
      <w:r w:rsidR="001B0D8E">
        <w:t xml:space="preserve"> com </w:t>
      </w:r>
      <w:r w:rsidR="001F510A">
        <w:t xml:space="preserve"> MIMO massiu</w:t>
      </w:r>
      <w:r w:rsidR="001E0F78">
        <w:t xml:space="preserve"> i la formació del </w:t>
      </w:r>
      <w:r w:rsidR="001B0D8E">
        <w:t>feix afecten de tal manera a la</w:t>
      </w:r>
      <w:r w:rsidR="001E0F78">
        <w:t xml:space="preserve"> distribució </w:t>
      </w:r>
      <w:r w:rsidR="001B0D8E">
        <w:t xml:space="preserve">espaial i en el temps de les </w:t>
      </w:r>
      <w:r w:rsidR="001F510A">
        <w:t>emissions</w:t>
      </w:r>
      <w:r w:rsidR="001B0D8E">
        <w:t xml:space="preserve"> </w:t>
      </w:r>
      <w:r w:rsidR="001E0F78">
        <w:t xml:space="preserve"> </w:t>
      </w:r>
      <w:r>
        <w:t xml:space="preserve">que els sistema </w:t>
      </w:r>
      <w:r w:rsidR="00DB066E">
        <w:t>emprat actualment</w:t>
      </w:r>
      <w:r>
        <w:t xml:space="preserve"> no resu</w:t>
      </w:r>
      <w:r w:rsidR="001F510A">
        <w:t>l</w:t>
      </w:r>
      <w:r>
        <w:t>ta d’aplicació. El</w:t>
      </w:r>
      <w:r w:rsidR="001B0D8E">
        <w:t xml:space="preserve"> nivell d’e</w:t>
      </w:r>
      <w:r>
        <w:t>m</w:t>
      </w:r>
      <w:r w:rsidR="001B0D8E">
        <w:t xml:space="preserve">issions </w:t>
      </w:r>
      <w:r w:rsidR="001F510A">
        <w:t>dependrà</w:t>
      </w:r>
      <w:r w:rsidR="001B0D8E">
        <w:t xml:space="preserve"> </w:t>
      </w:r>
      <w:r w:rsidR="001F510A">
        <w:t>dramàticament</w:t>
      </w:r>
      <w:r w:rsidR="001B0D8E">
        <w:t xml:space="preserve"> de la distancia a la antena, de la situació concreta del </w:t>
      </w:r>
      <w:r>
        <w:t xml:space="preserve">subjecte </w:t>
      </w:r>
      <w:r w:rsidR="001B0D8E">
        <w:t xml:space="preserve"> i del numero de </w:t>
      </w:r>
      <w:r w:rsidR="001F510A">
        <w:t>connexions</w:t>
      </w:r>
      <w:r w:rsidR="001B0D8E">
        <w:t xml:space="preserve">. </w:t>
      </w:r>
      <w:r w:rsidR="00DB066E">
        <w:t>La normativa actual no esta prevista per aquestes condicions.</w:t>
      </w:r>
    </w:p>
    <w:p w14:paraId="7A87B487" w14:textId="77777777" w:rsidR="00D4446F" w:rsidRDefault="00836EF8" w:rsidP="00926134">
      <w:pPr>
        <w:jc w:val="both"/>
      </w:pPr>
      <w:r>
        <w:t xml:space="preserve">Per altra banda s’espera que les mesures </w:t>
      </w:r>
      <w:r w:rsidR="001F510A">
        <w:t>augmentaran</w:t>
      </w:r>
      <w:r>
        <w:t xml:space="preserve">, tan prop de les antenes per la </w:t>
      </w:r>
      <w:r w:rsidR="001F510A">
        <w:t>pròpia</w:t>
      </w:r>
      <w:r>
        <w:t xml:space="preserve"> tecnologia  com a més distancia per l’increment de </w:t>
      </w:r>
      <w:r w:rsidR="001F510A">
        <w:t>connexions</w:t>
      </w:r>
      <w:r>
        <w:t>.</w:t>
      </w:r>
      <w:r w:rsidR="001B0D8E">
        <w:t xml:space="preserve"> </w:t>
      </w:r>
    </w:p>
    <w:p w14:paraId="4325919C" w14:textId="77777777" w:rsidR="00926134" w:rsidRDefault="00926134" w:rsidP="00926134">
      <w:pPr>
        <w:jc w:val="both"/>
      </w:pPr>
    </w:p>
    <w:p w14:paraId="134FE8B6" w14:textId="77777777" w:rsidR="006209E5" w:rsidRDefault="00DB066E" w:rsidP="00926134">
      <w:pPr>
        <w:spacing w:after="0"/>
        <w:jc w:val="both"/>
      </w:pPr>
      <w:r w:rsidRPr="006209E5">
        <w:rPr>
          <w:b/>
          <w:sz w:val="24"/>
          <w:szCs w:val="24"/>
        </w:rPr>
        <w:t xml:space="preserve">3.1 </w:t>
      </w:r>
      <w:r w:rsidR="006209E5" w:rsidRPr="006209E5">
        <w:rPr>
          <w:b/>
          <w:sz w:val="24"/>
          <w:szCs w:val="24"/>
        </w:rPr>
        <w:t>En quan a l’i</w:t>
      </w:r>
      <w:r w:rsidRPr="006209E5">
        <w:rPr>
          <w:b/>
          <w:sz w:val="24"/>
          <w:szCs w:val="24"/>
        </w:rPr>
        <w:t xml:space="preserve">ncrement de la contaminació </w:t>
      </w:r>
      <w:r w:rsidR="0082336C" w:rsidRPr="006209E5">
        <w:rPr>
          <w:b/>
          <w:sz w:val="24"/>
          <w:szCs w:val="24"/>
        </w:rPr>
        <w:t>electromagnètica</w:t>
      </w:r>
      <w:r>
        <w:t xml:space="preserve"> </w:t>
      </w:r>
    </w:p>
    <w:p w14:paraId="7B9F5C30" w14:textId="77777777" w:rsidR="00DB066E" w:rsidRDefault="006209E5" w:rsidP="00926134">
      <w:pPr>
        <w:jc w:val="both"/>
      </w:pPr>
      <w:r>
        <w:t xml:space="preserve">Que </w:t>
      </w:r>
      <w:r w:rsidR="00DB066E">
        <w:t xml:space="preserve">no </w:t>
      </w:r>
      <w:r>
        <w:t>é</w:t>
      </w:r>
      <w:r w:rsidR="00DB066E">
        <w:t>s una suposició</w:t>
      </w:r>
      <w:r>
        <w:t xml:space="preserve">, </w:t>
      </w:r>
      <w:r w:rsidR="001F510A">
        <w:t>sinó</w:t>
      </w:r>
      <w:r>
        <w:t xml:space="preserve"> que és </w:t>
      </w:r>
      <w:r w:rsidR="00DB066E">
        <w:t xml:space="preserve">una </w:t>
      </w:r>
      <w:r>
        <w:t>realitat,</w:t>
      </w:r>
      <w:r w:rsidR="00DB066E">
        <w:t xml:space="preserve"> coneguda per les </w:t>
      </w:r>
      <w:r>
        <w:t>empreses</w:t>
      </w:r>
      <w:r w:rsidR="00DB066E">
        <w:t xml:space="preserve"> del sector</w:t>
      </w:r>
      <w:r w:rsidR="00317903">
        <w:t xml:space="preserve"> (4)</w:t>
      </w:r>
      <w:r w:rsidR="00DB066E">
        <w:t>, com hem explicat en el punt a</w:t>
      </w:r>
      <w:r>
        <w:t>n</w:t>
      </w:r>
      <w:r w:rsidR="00DB066E">
        <w:t xml:space="preserve">terior, </w:t>
      </w:r>
      <w:r>
        <w:t>està</w:t>
      </w:r>
      <w:r w:rsidR="00DB066E">
        <w:t xml:space="preserve"> molt relacionada amb la distància a la font d’emissió i amb el n</w:t>
      </w:r>
      <w:r>
        <w:t>ombre</w:t>
      </w:r>
      <w:r w:rsidR="00DB066E">
        <w:t xml:space="preserve"> de </w:t>
      </w:r>
      <w:r>
        <w:t>connexions</w:t>
      </w:r>
      <w:r w:rsidR="00DB066E">
        <w:t xml:space="preserve">, </w:t>
      </w:r>
      <w:r w:rsidR="00DB066E">
        <w:lastRenderedPageBreak/>
        <w:t xml:space="preserve">que sens dubte </w:t>
      </w:r>
      <w:r>
        <w:t>augmentaran</w:t>
      </w:r>
      <w:r w:rsidR="00DB066E">
        <w:t xml:space="preserve">, com tots sabem. La manca de </w:t>
      </w:r>
      <w:r>
        <w:t>tècniques</w:t>
      </w:r>
      <w:r w:rsidR="00DB066E">
        <w:t xml:space="preserve"> de mesura adequades no pot ser una excusa per manipular els resultats </w:t>
      </w:r>
      <w:r>
        <w:t>que s’obtinguin.</w:t>
      </w:r>
      <w:r w:rsidR="00DB066E">
        <w:t xml:space="preserve"> </w:t>
      </w:r>
    </w:p>
    <w:p w14:paraId="2BA0A7FB" w14:textId="77777777" w:rsidR="00D4446F" w:rsidRDefault="00DB066E" w:rsidP="00926134">
      <w:pPr>
        <w:jc w:val="both"/>
      </w:pPr>
      <w:r>
        <w:t xml:space="preserve">En quan a la pagina que feu menció: Les dades publicades en aquesta  pagina estan preses de manera conservadora, la seva </w:t>
      </w:r>
      <w:r w:rsidR="006209E5">
        <w:t>funció</w:t>
      </w:r>
      <w:r>
        <w:t xml:space="preserve"> no es verificar on </w:t>
      </w:r>
      <w:r w:rsidR="006209E5">
        <w:t>estan</w:t>
      </w:r>
      <w:r>
        <w:t xml:space="preserve"> els pun</w:t>
      </w:r>
      <w:r w:rsidR="006209E5">
        <w:t>t</w:t>
      </w:r>
      <w:r>
        <w:t>s de més alta intensitat d’emissió</w:t>
      </w:r>
      <w:r w:rsidR="006209E5">
        <w:t>, que és el que buscaríem si la seva finalitat fos veure la evolució històrica de les mesures</w:t>
      </w:r>
      <w:r>
        <w:t>. Es sabut que a nivell de carre</w:t>
      </w:r>
      <w:r w:rsidR="006209E5">
        <w:t>r</w:t>
      </w:r>
      <w:r>
        <w:t xml:space="preserve"> les emissions son molt més baixes </w:t>
      </w:r>
      <w:r w:rsidR="006209E5">
        <w:t>que</w:t>
      </w:r>
      <w:r>
        <w:t xml:space="preserve"> en alçada. Si es vol parlar de garanties per a la salut </w:t>
      </w:r>
      <w:r w:rsidR="006209E5">
        <w:t xml:space="preserve">i verificar que els nivells de contaminació </w:t>
      </w:r>
      <w:r w:rsidR="001F510A">
        <w:t>electromagnètica</w:t>
      </w:r>
      <w:r w:rsidR="006209E5">
        <w:t xml:space="preserve"> es mantenen, </w:t>
      </w:r>
      <w:r>
        <w:t>les mesures s’han de prendre en alçada, en els pisos alts que reben directament els feixos de les estacions de telefonia</w:t>
      </w:r>
      <w:r w:rsidR="006209E5">
        <w:t xml:space="preserve">, sense rebots ni </w:t>
      </w:r>
      <w:r w:rsidR="001F510A">
        <w:t>interferències</w:t>
      </w:r>
      <w:r w:rsidR="006209E5">
        <w:t>.</w:t>
      </w:r>
    </w:p>
    <w:p w14:paraId="4D591C7A" w14:textId="77777777" w:rsidR="006209E5" w:rsidRDefault="006209E5" w:rsidP="00926134">
      <w:pPr>
        <w:jc w:val="both"/>
      </w:pPr>
      <w:r>
        <w:t>En quant a la web de Govern</w:t>
      </w:r>
      <w:r w:rsidR="001F510A">
        <w:t>a</w:t>
      </w:r>
      <w:r>
        <w:t xml:space="preserve">nça </w:t>
      </w:r>
      <w:r w:rsidR="001F510A">
        <w:t>Radioelèctrica</w:t>
      </w:r>
      <w:r>
        <w:t xml:space="preserve"> de Catalunya, a que també feu </w:t>
      </w:r>
      <w:r w:rsidR="0082336C">
        <w:t>referència</w:t>
      </w:r>
      <w:r>
        <w:t>, en a</w:t>
      </w:r>
      <w:r w:rsidR="0082336C">
        <w:t>q</w:t>
      </w:r>
      <w:r>
        <w:t>ues</w:t>
      </w:r>
      <w:r w:rsidR="0082336C">
        <w:t>t</w:t>
      </w:r>
      <w:r>
        <w:t xml:space="preserve"> cas estan </w:t>
      </w:r>
      <w:r w:rsidR="001F510A">
        <w:t>situades</w:t>
      </w:r>
      <w:r>
        <w:t xml:space="preserve"> en alçada però el aparells de  mesura </w:t>
      </w:r>
      <w:r w:rsidR="00317903">
        <w:t>per</w:t>
      </w:r>
      <w:r>
        <w:t xml:space="preserve"> les bandes de telefonia no estan ajustades per me</w:t>
      </w:r>
      <w:r w:rsidR="001F510A">
        <w:t>sura</w:t>
      </w:r>
      <w:r>
        <w:t xml:space="preserve">r la tecnologia 4G i </w:t>
      </w:r>
      <w:r w:rsidR="0082336C">
        <w:t xml:space="preserve">en quan a la 5G no la </w:t>
      </w:r>
      <w:r w:rsidR="001F510A">
        <w:t>llegiran</w:t>
      </w:r>
      <w:r w:rsidR="0082336C">
        <w:t xml:space="preserve"> les estacions fixes de </w:t>
      </w:r>
      <w:r w:rsidR="00317903">
        <w:t>telefonia</w:t>
      </w:r>
      <w:r>
        <w:t xml:space="preserve"> ni </w:t>
      </w:r>
      <w:r w:rsidR="00317903">
        <w:t xml:space="preserve">tampoc  </w:t>
      </w:r>
      <w:r>
        <w:t>les de banda ample</w:t>
      </w:r>
      <w:r w:rsidR="0082336C">
        <w:t>.</w:t>
      </w:r>
      <w:r w:rsidR="001F510A">
        <w:t>. Així</w:t>
      </w:r>
      <w:r>
        <w:t xml:space="preserve"> que no est</w:t>
      </w:r>
      <w:r w:rsidR="001F510A">
        <w:t>à</w:t>
      </w:r>
      <w:r>
        <w:t xml:space="preserve"> previst de quina manera podrem conèixer </w:t>
      </w:r>
      <w:r w:rsidR="00317903">
        <w:t>la evolució del nivell d’emissions.</w:t>
      </w:r>
    </w:p>
    <w:p w14:paraId="6EA65B6B" w14:textId="77777777" w:rsidR="00926134" w:rsidRDefault="00926134" w:rsidP="00926134">
      <w:pPr>
        <w:jc w:val="both"/>
      </w:pPr>
    </w:p>
    <w:p w14:paraId="7F0E15AC" w14:textId="77777777" w:rsidR="00317903" w:rsidRDefault="00317903" w:rsidP="00926134">
      <w:pPr>
        <w:spacing w:after="0"/>
        <w:jc w:val="both"/>
        <w:rPr>
          <w:b/>
          <w:sz w:val="24"/>
          <w:szCs w:val="24"/>
        </w:rPr>
      </w:pPr>
      <w:r w:rsidRPr="006209E5">
        <w:rPr>
          <w:b/>
          <w:sz w:val="24"/>
          <w:szCs w:val="24"/>
        </w:rPr>
        <w:t>3.</w:t>
      </w:r>
      <w:r w:rsidR="00EA03B3">
        <w:rPr>
          <w:b/>
          <w:sz w:val="24"/>
          <w:szCs w:val="24"/>
        </w:rPr>
        <w:t>2</w:t>
      </w:r>
      <w:r w:rsidRPr="006209E5">
        <w:rPr>
          <w:b/>
          <w:sz w:val="24"/>
          <w:szCs w:val="24"/>
        </w:rPr>
        <w:t xml:space="preserve"> En quan a l</w:t>
      </w:r>
      <w:r>
        <w:rPr>
          <w:b/>
          <w:sz w:val="24"/>
          <w:szCs w:val="24"/>
        </w:rPr>
        <w:t xml:space="preserve">a </w:t>
      </w:r>
      <w:r w:rsidR="00EA03B3">
        <w:rPr>
          <w:b/>
          <w:sz w:val="24"/>
          <w:szCs w:val="24"/>
        </w:rPr>
        <w:t>informació</w:t>
      </w:r>
      <w:r>
        <w:rPr>
          <w:b/>
          <w:sz w:val="24"/>
          <w:szCs w:val="24"/>
        </w:rPr>
        <w:t xml:space="preserve"> d’on s’instal·len les antenes, de qualssevol tecnologia. </w:t>
      </w:r>
    </w:p>
    <w:p w14:paraId="5A6266C9" w14:textId="77777777" w:rsidR="00EA03B3" w:rsidRPr="00DD40BE" w:rsidRDefault="00317903" w:rsidP="00926134">
      <w:pPr>
        <w:spacing w:line="280" w:lineRule="exact"/>
        <w:jc w:val="both"/>
        <w:rPr>
          <w:sz w:val="24"/>
          <w:szCs w:val="24"/>
        </w:rPr>
      </w:pPr>
      <w:r>
        <w:rPr>
          <w:sz w:val="24"/>
          <w:szCs w:val="24"/>
        </w:rPr>
        <w:t>C</w:t>
      </w:r>
      <w:r w:rsidRPr="00317903">
        <w:rPr>
          <w:sz w:val="24"/>
          <w:szCs w:val="24"/>
        </w:rPr>
        <w:t>oneixem aques</w:t>
      </w:r>
      <w:r>
        <w:rPr>
          <w:sz w:val="24"/>
          <w:szCs w:val="24"/>
        </w:rPr>
        <w:t>t</w:t>
      </w:r>
      <w:r w:rsidRPr="00317903">
        <w:rPr>
          <w:sz w:val="24"/>
          <w:szCs w:val="24"/>
        </w:rPr>
        <w:t xml:space="preserve"> article de la llei; però n’hi ha altres q</w:t>
      </w:r>
      <w:r>
        <w:rPr>
          <w:sz w:val="24"/>
          <w:szCs w:val="24"/>
        </w:rPr>
        <w:t>ue</w:t>
      </w:r>
      <w:r w:rsidRPr="00317903">
        <w:rPr>
          <w:sz w:val="24"/>
          <w:szCs w:val="24"/>
        </w:rPr>
        <w:t xml:space="preserve"> també resulten d’aplicació</w:t>
      </w:r>
      <w:r w:rsidR="00DD40BE">
        <w:rPr>
          <w:sz w:val="24"/>
          <w:szCs w:val="24"/>
        </w:rPr>
        <w:t>. C</w:t>
      </w:r>
      <w:r>
        <w:rPr>
          <w:sz w:val="24"/>
          <w:szCs w:val="24"/>
        </w:rPr>
        <w:t>onsideran</w:t>
      </w:r>
      <w:r w:rsidR="00EA03B3">
        <w:rPr>
          <w:sz w:val="24"/>
          <w:szCs w:val="24"/>
        </w:rPr>
        <w:t>t</w:t>
      </w:r>
      <w:r>
        <w:rPr>
          <w:sz w:val="24"/>
          <w:szCs w:val="24"/>
        </w:rPr>
        <w:t xml:space="preserve"> les competències en urbanisme de tots els ajuntaments, la seva responsabilitat en temes de salut </w:t>
      </w:r>
      <w:r w:rsidR="00EA03B3">
        <w:rPr>
          <w:sz w:val="24"/>
          <w:szCs w:val="24"/>
        </w:rPr>
        <w:t>i les seves competències inspectores, que la llei 9/2014 no ha modificat</w:t>
      </w:r>
      <w:r>
        <w:rPr>
          <w:sz w:val="24"/>
          <w:szCs w:val="24"/>
        </w:rPr>
        <w:t xml:space="preserve">, en el cas que </w:t>
      </w:r>
      <w:r w:rsidR="00EA03B3">
        <w:rPr>
          <w:sz w:val="24"/>
          <w:szCs w:val="24"/>
        </w:rPr>
        <w:t xml:space="preserve">l’administració local </w:t>
      </w:r>
      <w:r>
        <w:rPr>
          <w:sz w:val="24"/>
          <w:szCs w:val="24"/>
        </w:rPr>
        <w:t xml:space="preserve">estigui </w:t>
      </w:r>
      <w:r w:rsidR="00EA03B3">
        <w:rPr>
          <w:sz w:val="24"/>
          <w:szCs w:val="24"/>
        </w:rPr>
        <w:t>interessada</w:t>
      </w:r>
      <w:r>
        <w:rPr>
          <w:sz w:val="24"/>
          <w:szCs w:val="24"/>
        </w:rPr>
        <w:t xml:space="preserve"> a saber on </w:t>
      </w:r>
      <w:r w:rsidR="00DD40BE">
        <w:rPr>
          <w:sz w:val="24"/>
          <w:szCs w:val="24"/>
        </w:rPr>
        <w:t>s’instal·len</w:t>
      </w:r>
      <w:r>
        <w:rPr>
          <w:sz w:val="24"/>
          <w:szCs w:val="24"/>
        </w:rPr>
        <w:t xml:space="preserve"> les antenes</w:t>
      </w:r>
      <w:r w:rsidR="00EA03B3">
        <w:rPr>
          <w:sz w:val="24"/>
          <w:szCs w:val="24"/>
        </w:rPr>
        <w:t xml:space="preserve">, només cal </w:t>
      </w:r>
      <w:r>
        <w:rPr>
          <w:sz w:val="24"/>
          <w:szCs w:val="24"/>
        </w:rPr>
        <w:t xml:space="preserve"> demanar el Pla de Desplega</w:t>
      </w:r>
      <w:r w:rsidR="00EA03B3">
        <w:rPr>
          <w:sz w:val="24"/>
          <w:szCs w:val="24"/>
        </w:rPr>
        <w:t xml:space="preserve">ment, </w:t>
      </w:r>
      <w:r>
        <w:rPr>
          <w:sz w:val="24"/>
          <w:szCs w:val="24"/>
        </w:rPr>
        <w:t xml:space="preserve"> per cada tecnologia</w:t>
      </w:r>
      <w:r w:rsidR="00EA03B3">
        <w:rPr>
          <w:sz w:val="24"/>
          <w:szCs w:val="24"/>
        </w:rPr>
        <w:t>,</w:t>
      </w:r>
      <w:r>
        <w:rPr>
          <w:sz w:val="24"/>
          <w:szCs w:val="24"/>
        </w:rPr>
        <w:t xml:space="preserve"> que ha d’haver estat aprovat pel Ministeri</w:t>
      </w:r>
      <w:r w:rsidR="00EA03B3">
        <w:rPr>
          <w:sz w:val="24"/>
          <w:szCs w:val="24"/>
        </w:rPr>
        <w:t>. També trobem en l’art. 34</w:t>
      </w:r>
      <w:r w:rsidR="00FA7D8E">
        <w:rPr>
          <w:sz w:val="24"/>
          <w:szCs w:val="24"/>
        </w:rPr>
        <w:t>.4</w:t>
      </w:r>
      <w:r w:rsidR="00EA03B3">
        <w:rPr>
          <w:sz w:val="24"/>
          <w:szCs w:val="24"/>
        </w:rPr>
        <w:t xml:space="preserve"> “</w:t>
      </w:r>
      <w:r w:rsidR="00EA03B3" w:rsidRPr="00EA03B3">
        <w:rPr>
          <w:i/>
          <w:sz w:val="24"/>
          <w:szCs w:val="24"/>
        </w:rPr>
        <w:t>Los operadores no tendrán obligación de aportar la documentación o información de cualquier naturaleza que ya obre en poder de la Administración. El Ministerio de Industria, Energía y Turismo establecerá, mediante real decreto, la forma en que se facilitará a las administraciones públicas la información que precisen para el ejercicio de sus propias competencias</w:t>
      </w:r>
      <w:r w:rsidR="00EA03B3" w:rsidRPr="004F6F49">
        <w:rPr>
          <w:sz w:val="20"/>
          <w:szCs w:val="20"/>
        </w:rPr>
        <w:t>.</w:t>
      </w:r>
      <w:r w:rsidR="00EA03B3">
        <w:rPr>
          <w:sz w:val="20"/>
          <w:szCs w:val="20"/>
        </w:rPr>
        <w:t>”</w:t>
      </w:r>
      <w:r w:rsidR="00DD40BE">
        <w:rPr>
          <w:sz w:val="20"/>
          <w:szCs w:val="20"/>
        </w:rPr>
        <w:t xml:space="preserve"> </w:t>
      </w:r>
      <w:r w:rsidR="00DD40BE" w:rsidRPr="00DD40BE">
        <w:rPr>
          <w:sz w:val="24"/>
          <w:szCs w:val="24"/>
        </w:rPr>
        <w:t xml:space="preserve">Es </w:t>
      </w:r>
      <w:r w:rsidR="001F510A" w:rsidRPr="00DD40BE">
        <w:rPr>
          <w:sz w:val="24"/>
          <w:szCs w:val="24"/>
        </w:rPr>
        <w:t>competència</w:t>
      </w:r>
      <w:r w:rsidR="00DD40BE" w:rsidRPr="00DD40BE">
        <w:rPr>
          <w:sz w:val="24"/>
          <w:szCs w:val="24"/>
        </w:rPr>
        <w:t xml:space="preserve"> de l’Ajuntament verificar que les instal·lacions s’ajustin a dret, tan en termes tècnics, com d’urbanisme, com de salut, cosa que difícilment podran fer si desconeixen la situació de les antenes i les característiques de cada ubicació, compartides la majoria. Per tant, cal que coneguin on es situen les antenes “para el e</w:t>
      </w:r>
      <w:r w:rsidR="00DD40BE">
        <w:rPr>
          <w:sz w:val="24"/>
          <w:szCs w:val="24"/>
        </w:rPr>
        <w:t>j</w:t>
      </w:r>
      <w:r w:rsidR="00DD40BE" w:rsidRPr="00DD40BE">
        <w:rPr>
          <w:sz w:val="24"/>
          <w:szCs w:val="24"/>
        </w:rPr>
        <w:t>ercicio de sus propias compet</w:t>
      </w:r>
      <w:r w:rsidR="001F510A">
        <w:rPr>
          <w:sz w:val="24"/>
          <w:szCs w:val="24"/>
        </w:rPr>
        <w:t>é</w:t>
      </w:r>
      <w:r w:rsidR="00DD40BE">
        <w:rPr>
          <w:sz w:val="24"/>
          <w:szCs w:val="24"/>
        </w:rPr>
        <w:t>ncias</w:t>
      </w:r>
      <w:r w:rsidR="00DD40BE" w:rsidRPr="00DD40BE">
        <w:rPr>
          <w:sz w:val="24"/>
          <w:szCs w:val="24"/>
        </w:rPr>
        <w:t>”</w:t>
      </w:r>
      <w:r w:rsidR="00FA7D8E">
        <w:rPr>
          <w:sz w:val="24"/>
          <w:szCs w:val="24"/>
        </w:rPr>
        <w:t xml:space="preserve"> i poden fer-ho sol·licita</w:t>
      </w:r>
      <w:r w:rsidR="008847D6">
        <w:rPr>
          <w:sz w:val="24"/>
          <w:szCs w:val="24"/>
        </w:rPr>
        <w:t>nt</w:t>
      </w:r>
      <w:r w:rsidR="00FA7D8E">
        <w:rPr>
          <w:sz w:val="24"/>
          <w:szCs w:val="24"/>
        </w:rPr>
        <w:t xml:space="preserve"> la informació al Ministeri que és qu</w:t>
      </w:r>
      <w:r w:rsidR="008847D6">
        <w:rPr>
          <w:sz w:val="24"/>
          <w:szCs w:val="24"/>
        </w:rPr>
        <w:t>i té la informació.</w:t>
      </w:r>
    </w:p>
    <w:p w14:paraId="0C0E1E3D" w14:textId="77777777" w:rsidR="00EA03B3" w:rsidRDefault="001F510A" w:rsidP="00926134">
      <w:pPr>
        <w:spacing w:line="280" w:lineRule="exact"/>
        <w:jc w:val="both"/>
        <w:rPr>
          <w:sz w:val="24"/>
          <w:szCs w:val="24"/>
        </w:rPr>
      </w:pPr>
      <w:r w:rsidRPr="00DD40BE">
        <w:rPr>
          <w:sz w:val="24"/>
          <w:szCs w:val="24"/>
        </w:rPr>
        <w:t>Addicionalment</w:t>
      </w:r>
      <w:r w:rsidR="00EA03B3" w:rsidRPr="00DD40BE">
        <w:rPr>
          <w:sz w:val="24"/>
          <w:szCs w:val="24"/>
        </w:rPr>
        <w:t xml:space="preserve">, </w:t>
      </w:r>
      <w:r w:rsidR="00DD40BE">
        <w:rPr>
          <w:sz w:val="24"/>
          <w:szCs w:val="24"/>
        </w:rPr>
        <w:t xml:space="preserve">i referent a la 5G, </w:t>
      </w:r>
      <w:r w:rsidR="00EA03B3" w:rsidRPr="00DD40BE">
        <w:rPr>
          <w:sz w:val="24"/>
          <w:szCs w:val="24"/>
        </w:rPr>
        <w:t xml:space="preserve">cal </w:t>
      </w:r>
      <w:r w:rsidR="00DD40BE" w:rsidRPr="00DD40BE">
        <w:rPr>
          <w:sz w:val="24"/>
          <w:szCs w:val="24"/>
        </w:rPr>
        <w:t>considerar</w:t>
      </w:r>
      <w:r w:rsidR="00EA03B3" w:rsidRPr="00DD40BE">
        <w:rPr>
          <w:sz w:val="24"/>
          <w:szCs w:val="24"/>
        </w:rPr>
        <w:t xml:space="preserve"> que les antenes de baixa potencia que </w:t>
      </w:r>
      <w:r w:rsidR="00DD40BE" w:rsidRPr="00DD40BE">
        <w:rPr>
          <w:sz w:val="24"/>
          <w:szCs w:val="24"/>
        </w:rPr>
        <w:t>s’instal·len</w:t>
      </w:r>
      <w:r w:rsidR="00EA03B3" w:rsidRPr="00DD40BE">
        <w:rPr>
          <w:sz w:val="24"/>
          <w:szCs w:val="24"/>
        </w:rPr>
        <w:t xml:space="preserve"> a niv</w:t>
      </w:r>
      <w:r w:rsidR="00DD40BE">
        <w:rPr>
          <w:sz w:val="24"/>
          <w:szCs w:val="24"/>
        </w:rPr>
        <w:t>e</w:t>
      </w:r>
      <w:r w:rsidR="00EA03B3" w:rsidRPr="00DD40BE">
        <w:rPr>
          <w:sz w:val="24"/>
          <w:szCs w:val="24"/>
        </w:rPr>
        <w:t xml:space="preserve">ll de carrer ho fan, </w:t>
      </w:r>
      <w:r w:rsidR="00DD40BE" w:rsidRPr="00DD40BE">
        <w:rPr>
          <w:sz w:val="24"/>
          <w:szCs w:val="24"/>
        </w:rPr>
        <w:t xml:space="preserve">en un percentatge </w:t>
      </w:r>
      <w:r w:rsidR="00DD40BE">
        <w:rPr>
          <w:sz w:val="24"/>
          <w:szCs w:val="24"/>
        </w:rPr>
        <w:t xml:space="preserve">rellevant </w:t>
      </w:r>
      <w:r w:rsidR="00DD40BE" w:rsidRPr="00DD40BE">
        <w:rPr>
          <w:sz w:val="24"/>
          <w:szCs w:val="24"/>
        </w:rPr>
        <w:t>en mobiliari públic i connectats a la xarxa pública d’electricitat, per força</w:t>
      </w:r>
      <w:r w:rsidR="00DD40BE">
        <w:rPr>
          <w:sz w:val="24"/>
          <w:szCs w:val="24"/>
        </w:rPr>
        <w:t>, aquestes,</w:t>
      </w:r>
      <w:r w:rsidR="00DD40BE" w:rsidRPr="00DD40BE">
        <w:rPr>
          <w:sz w:val="24"/>
          <w:szCs w:val="24"/>
        </w:rPr>
        <w:t xml:space="preserve"> l’ajuntament ho ha de saber.</w:t>
      </w:r>
    </w:p>
    <w:p w14:paraId="14AACF3F" w14:textId="77777777" w:rsidR="00926134" w:rsidRDefault="00926134" w:rsidP="00926134">
      <w:pPr>
        <w:spacing w:line="280" w:lineRule="exact"/>
        <w:jc w:val="both"/>
        <w:rPr>
          <w:sz w:val="24"/>
          <w:szCs w:val="24"/>
        </w:rPr>
      </w:pPr>
    </w:p>
    <w:p w14:paraId="77DD697E" w14:textId="77777777" w:rsidR="00A178EC" w:rsidRPr="0082336C" w:rsidRDefault="0082336C" w:rsidP="00926134">
      <w:pPr>
        <w:spacing w:after="0"/>
        <w:jc w:val="both"/>
        <w:rPr>
          <w:b/>
          <w:sz w:val="24"/>
          <w:szCs w:val="24"/>
        </w:rPr>
      </w:pPr>
      <w:r w:rsidRPr="0082336C">
        <w:rPr>
          <w:b/>
          <w:sz w:val="24"/>
          <w:szCs w:val="24"/>
        </w:rPr>
        <w:t>4.Mitjans de control i seguiment.</w:t>
      </w:r>
    </w:p>
    <w:p w14:paraId="0424FD2A" w14:textId="77777777" w:rsidR="0082336C" w:rsidRDefault="0082336C" w:rsidP="00926134">
      <w:pPr>
        <w:jc w:val="both"/>
        <w:rPr>
          <w:sz w:val="24"/>
          <w:szCs w:val="24"/>
        </w:rPr>
      </w:pPr>
      <w:r>
        <w:rPr>
          <w:sz w:val="24"/>
          <w:szCs w:val="24"/>
        </w:rPr>
        <w:t>Pel que hem escrit a</w:t>
      </w:r>
      <w:r w:rsidR="001F510A">
        <w:rPr>
          <w:sz w:val="24"/>
          <w:szCs w:val="24"/>
        </w:rPr>
        <w:t xml:space="preserve"> dalt</w:t>
      </w:r>
      <w:r>
        <w:rPr>
          <w:sz w:val="24"/>
          <w:szCs w:val="24"/>
        </w:rPr>
        <w:t>, podeu veure que no compartim la vostra afirmació.</w:t>
      </w:r>
      <w:r w:rsidR="00B63596">
        <w:rPr>
          <w:sz w:val="24"/>
          <w:szCs w:val="24"/>
        </w:rPr>
        <w:t xml:space="preserve"> Encara que podria ser</w:t>
      </w:r>
      <w:r w:rsidR="001F510A">
        <w:rPr>
          <w:sz w:val="24"/>
          <w:szCs w:val="24"/>
        </w:rPr>
        <w:t xml:space="preserve"> </w:t>
      </w:r>
      <w:r w:rsidR="00B63596">
        <w:rPr>
          <w:sz w:val="24"/>
          <w:szCs w:val="24"/>
        </w:rPr>
        <w:t>que estiguéssim mal informats. Ens ho hauríeu d’aclarir.</w:t>
      </w:r>
    </w:p>
    <w:p w14:paraId="1A10E770" w14:textId="77777777" w:rsidR="00A178EC" w:rsidRDefault="00A178EC" w:rsidP="00926134">
      <w:pPr>
        <w:jc w:val="both"/>
        <w:rPr>
          <w:sz w:val="24"/>
          <w:szCs w:val="24"/>
        </w:rPr>
      </w:pPr>
    </w:p>
    <w:p w14:paraId="158B697D" w14:textId="77777777" w:rsidR="00B14D09" w:rsidRDefault="00B14D09" w:rsidP="00926134">
      <w:pPr>
        <w:jc w:val="both"/>
        <w:rPr>
          <w:b/>
          <w:sz w:val="28"/>
          <w:szCs w:val="28"/>
        </w:rPr>
      </w:pPr>
    </w:p>
    <w:p w14:paraId="205AA3EC" w14:textId="77777777" w:rsidR="00B14D09" w:rsidRDefault="00B14D09" w:rsidP="00926134">
      <w:pPr>
        <w:jc w:val="both"/>
        <w:rPr>
          <w:b/>
          <w:sz w:val="28"/>
          <w:szCs w:val="28"/>
        </w:rPr>
      </w:pPr>
    </w:p>
    <w:p w14:paraId="504F6176" w14:textId="77777777" w:rsidR="00B63596" w:rsidRPr="00B63596" w:rsidRDefault="00B63596" w:rsidP="00926134">
      <w:pPr>
        <w:jc w:val="both"/>
        <w:rPr>
          <w:b/>
          <w:sz w:val="28"/>
          <w:szCs w:val="28"/>
        </w:rPr>
      </w:pPr>
      <w:r w:rsidRPr="00B63596">
        <w:rPr>
          <w:b/>
          <w:sz w:val="28"/>
          <w:szCs w:val="28"/>
        </w:rPr>
        <w:t xml:space="preserve">Per tot això </w:t>
      </w:r>
      <w:r w:rsidR="001F510A" w:rsidRPr="00B63596">
        <w:rPr>
          <w:b/>
          <w:sz w:val="28"/>
          <w:szCs w:val="28"/>
        </w:rPr>
        <w:t>exposat</w:t>
      </w:r>
      <w:r w:rsidRPr="00B63596">
        <w:rPr>
          <w:b/>
          <w:sz w:val="28"/>
          <w:szCs w:val="28"/>
        </w:rPr>
        <w:t>, SOL</w:t>
      </w:r>
      <w:r>
        <w:rPr>
          <w:b/>
          <w:sz w:val="28"/>
          <w:szCs w:val="28"/>
        </w:rPr>
        <w:t>·LICITEM:</w:t>
      </w:r>
    </w:p>
    <w:p w14:paraId="105AC5B6" w14:textId="77777777" w:rsidR="00A178EC" w:rsidRDefault="00A178EC" w:rsidP="00926134">
      <w:pPr>
        <w:jc w:val="both"/>
      </w:pPr>
    </w:p>
    <w:p w14:paraId="055F826E" w14:textId="77777777" w:rsidR="00B63596" w:rsidRDefault="00B14D09" w:rsidP="00B14D09">
      <w:pPr>
        <w:pStyle w:val="Prrafodelista"/>
        <w:numPr>
          <w:ilvl w:val="0"/>
          <w:numId w:val="3"/>
        </w:numPr>
        <w:jc w:val="both"/>
      </w:pPr>
      <w:r>
        <w:lastRenderedPageBreak/>
        <w:t>Estar informats sobre la implementació d’aquesta tecnologia a la nostre localitat.</w:t>
      </w:r>
    </w:p>
    <w:p w14:paraId="3C1B68FD" w14:textId="77777777" w:rsidR="00CF4B9D" w:rsidRDefault="00CF4B9D" w:rsidP="00CF4B9D">
      <w:pPr>
        <w:pStyle w:val="Prrafodelista"/>
        <w:jc w:val="both"/>
      </w:pPr>
    </w:p>
    <w:p w14:paraId="02978024" w14:textId="77777777" w:rsidR="00B14D09" w:rsidRDefault="00B14D09" w:rsidP="00B14D09">
      <w:pPr>
        <w:pStyle w:val="Prrafodelista"/>
        <w:numPr>
          <w:ilvl w:val="0"/>
          <w:numId w:val="3"/>
        </w:numPr>
        <w:jc w:val="both"/>
      </w:pPr>
      <w:r>
        <w:t>Una entrevista amb alguns del seus tècnics, a fi de poder garantir una seguretat mediambiental i de salut pública en relació a la implementació d’aquesta tecnologia.</w:t>
      </w:r>
    </w:p>
    <w:p w14:paraId="091B8A79" w14:textId="77777777" w:rsidR="00CF4B9D" w:rsidRDefault="00CF4B9D" w:rsidP="00CF4B9D">
      <w:pPr>
        <w:pStyle w:val="Prrafodelista"/>
        <w:jc w:val="both"/>
      </w:pPr>
    </w:p>
    <w:p w14:paraId="009BE994" w14:textId="77777777" w:rsidR="00B14D09" w:rsidRDefault="00B14D09" w:rsidP="00B14D09">
      <w:pPr>
        <w:pStyle w:val="Prrafodelista"/>
        <w:numPr>
          <w:ilvl w:val="0"/>
          <w:numId w:val="3"/>
        </w:numPr>
        <w:jc w:val="both"/>
      </w:pPr>
      <w:r>
        <w:t>Procedir a una MORATORIA, mentre no es pugui garantir aquesta seguretat.</w:t>
      </w:r>
    </w:p>
    <w:p w14:paraId="785C7DE9" w14:textId="77777777" w:rsidR="00B63596" w:rsidRDefault="00B63596" w:rsidP="00926134">
      <w:pPr>
        <w:jc w:val="both"/>
      </w:pPr>
    </w:p>
    <w:p w14:paraId="0F575C92" w14:textId="77777777" w:rsidR="00B63596" w:rsidRDefault="00B63596" w:rsidP="00926134">
      <w:pPr>
        <w:jc w:val="both"/>
      </w:pPr>
    </w:p>
    <w:p w14:paraId="25870E01" w14:textId="77777777" w:rsidR="00B63596" w:rsidRDefault="00B63596" w:rsidP="00926134">
      <w:pPr>
        <w:jc w:val="both"/>
      </w:pPr>
    </w:p>
    <w:p w14:paraId="49310259" w14:textId="77777777" w:rsidR="00B63596" w:rsidRDefault="00B63596" w:rsidP="00926134">
      <w:pPr>
        <w:jc w:val="both"/>
      </w:pPr>
    </w:p>
    <w:p w14:paraId="7833DCD5" w14:textId="77777777" w:rsidR="00B63596" w:rsidRDefault="00B63596" w:rsidP="00926134">
      <w:pPr>
        <w:jc w:val="both"/>
      </w:pPr>
    </w:p>
    <w:p w14:paraId="78ABC2AC" w14:textId="77777777" w:rsidR="00B63596" w:rsidRDefault="00B63596" w:rsidP="00926134">
      <w:pPr>
        <w:jc w:val="both"/>
      </w:pPr>
    </w:p>
    <w:p w14:paraId="705844E1" w14:textId="77777777" w:rsidR="00B63596" w:rsidRDefault="00B63596" w:rsidP="00926134">
      <w:pPr>
        <w:jc w:val="both"/>
      </w:pPr>
    </w:p>
    <w:p w14:paraId="05576A72" w14:textId="77777777" w:rsidR="0047021E" w:rsidRDefault="0047021E" w:rsidP="00926134">
      <w:pPr>
        <w:jc w:val="both"/>
      </w:pPr>
    </w:p>
    <w:p w14:paraId="059B50E3" w14:textId="77777777" w:rsidR="0047021E" w:rsidRDefault="0047021E" w:rsidP="00926134">
      <w:pPr>
        <w:jc w:val="both"/>
      </w:pPr>
    </w:p>
    <w:p w14:paraId="327AD428" w14:textId="77777777" w:rsidR="0047021E" w:rsidRDefault="0047021E" w:rsidP="00926134">
      <w:pPr>
        <w:jc w:val="both"/>
      </w:pPr>
    </w:p>
    <w:p w14:paraId="2D29C525" w14:textId="77777777" w:rsidR="0047021E" w:rsidRDefault="0047021E" w:rsidP="00926134">
      <w:pPr>
        <w:jc w:val="both"/>
      </w:pPr>
    </w:p>
    <w:p w14:paraId="367CE247" w14:textId="77777777" w:rsidR="0047021E" w:rsidRDefault="0047021E" w:rsidP="00926134">
      <w:pPr>
        <w:jc w:val="both"/>
      </w:pPr>
    </w:p>
    <w:p w14:paraId="70017C5B" w14:textId="77777777" w:rsidR="0047021E" w:rsidRDefault="0047021E" w:rsidP="00926134">
      <w:pPr>
        <w:jc w:val="both"/>
      </w:pPr>
    </w:p>
    <w:p w14:paraId="040CA29A" w14:textId="77777777" w:rsidR="00B63596" w:rsidRPr="00B63596" w:rsidRDefault="00910A45" w:rsidP="00926134">
      <w:pPr>
        <w:jc w:val="both"/>
        <w:rPr>
          <w:b/>
          <w:sz w:val="28"/>
          <w:szCs w:val="28"/>
          <w:u w:val="single"/>
        </w:rPr>
      </w:pPr>
      <w:r>
        <w:rPr>
          <w:b/>
          <w:sz w:val="28"/>
          <w:szCs w:val="28"/>
          <w:u w:val="single"/>
        </w:rPr>
        <w:t>REFERÈ</w:t>
      </w:r>
      <w:r w:rsidR="00B63596" w:rsidRPr="00B63596">
        <w:rPr>
          <w:b/>
          <w:sz w:val="28"/>
          <w:szCs w:val="28"/>
          <w:u w:val="single"/>
        </w:rPr>
        <w:t>NCIES</w:t>
      </w:r>
    </w:p>
    <w:p w14:paraId="73C6A504" w14:textId="77777777" w:rsidR="00926134" w:rsidRDefault="005500C8" w:rsidP="00926134">
      <w:pPr>
        <w:pStyle w:val="Prrafodelista"/>
        <w:numPr>
          <w:ilvl w:val="0"/>
          <w:numId w:val="1"/>
        </w:numPr>
        <w:spacing w:after="120"/>
        <w:ind w:left="714" w:hanging="357"/>
      </w:pPr>
      <w:r w:rsidRPr="005500C8">
        <w:rPr>
          <w:b/>
        </w:rPr>
        <w:t>Art. 137 C.E.</w:t>
      </w:r>
      <w:r w:rsidRPr="005500C8">
        <w:rPr>
          <w:b/>
        </w:rPr>
        <w:br/>
      </w:r>
      <w:r w:rsidRPr="005500C8">
        <w:t>L’e</w:t>
      </w:r>
      <w:r w:rsidR="001F510A">
        <w:t>stat s’organitza territorialmen</w:t>
      </w:r>
      <w:r w:rsidRPr="005500C8">
        <w:t>t en municipis</w:t>
      </w:r>
      <w:r>
        <w:t xml:space="preserve">, </w:t>
      </w:r>
      <w:r w:rsidR="001F510A">
        <w:t>províncies</w:t>
      </w:r>
      <w:r>
        <w:t xml:space="preserve"> i Comunitats </w:t>
      </w:r>
      <w:r w:rsidR="001F510A">
        <w:t>Autònomes</w:t>
      </w:r>
      <w:r>
        <w:t xml:space="preserve">. Totes </w:t>
      </w:r>
      <w:r w:rsidR="001F510A">
        <w:t>aquestes</w:t>
      </w:r>
      <w:r>
        <w:t xml:space="preserve"> entitats gaudeixen </w:t>
      </w:r>
      <w:r w:rsidR="001F510A">
        <w:t>d’autonomia</w:t>
      </w:r>
      <w:r>
        <w:t xml:space="preserve"> per a la gestió dels seus interessos respectius</w:t>
      </w:r>
    </w:p>
    <w:p w14:paraId="26B577B3" w14:textId="77777777" w:rsidR="00926134" w:rsidRPr="00926134" w:rsidRDefault="00926134" w:rsidP="00926134">
      <w:pPr>
        <w:pStyle w:val="Prrafodelista"/>
        <w:spacing w:after="120"/>
        <w:ind w:left="714"/>
        <w:jc w:val="both"/>
        <w:rPr>
          <w:sz w:val="20"/>
          <w:szCs w:val="20"/>
        </w:rPr>
      </w:pPr>
    </w:p>
    <w:p w14:paraId="1ABDE193" w14:textId="77777777" w:rsidR="00982C71" w:rsidRPr="00982C71" w:rsidRDefault="00A178EC" w:rsidP="00926134">
      <w:pPr>
        <w:pStyle w:val="Prrafodelista"/>
        <w:numPr>
          <w:ilvl w:val="0"/>
          <w:numId w:val="1"/>
        </w:numPr>
        <w:spacing w:after="0"/>
        <w:ind w:left="720"/>
        <w:rPr>
          <w:sz w:val="20"/>
          <w:szCs w:val="20"/>
        </w:rPr>
      </w:pPr>
      <w:r w:rsidRPr="00982C71">
        <w:rPr>
          <w:b/>
        </w:rPr>
        <w:t>L</w:t>
      </w:r>
      <w:r w:rsidR="001F510A">
        <w:rPr>
          <w:b/>
        </w:rPr>
        <w:t>lei</w:t>
      </w:r>
      <w:r w:rsidRPr="00982C71">
        <w:rPr>
          <w:b/>
        </w:rPr>
        <w:t xml:space="preserve">  General de Salut Publica 33/2011</w:t>
      </w:r>
      <w:r w:rsidR="00982C71" w:rsidRPr="00982C71">
        <w:rPr>
          <w:b/>
        </w:rPr>
        <w:t xml:space="preserve">. </w:t>
      </w:r>
      <w:hyperlink r:id="rId7" w:history="1">
        <w:r w:rsidR="00982C71" w:rsidRPr="00982C71">
          <w:rPr>
            <w:rStyle w:val="Hipervnculo"/>
            <w:sz w:val="20"/>
            <w:szCs w:val="20"/>
          </w:rPr>
          <w:t>https://noticias.juridicas.com/base_datos/Admin/l33-2011.html</w:t>
        </w:r>
      </w:hyperlink>
    </w:p>
    <w:p w14:paraId="01838C30" w14:textId="77777777" w:rsidR="000050DC" w:rsidRPr="000050DC" w:rsidRDefault="000050DC" w:rsidP="00926134">
      <w:pPr>
        <w:spacing w:after="0" w:line="240" w:lineRule="auto"/>
        <w:ind w:left="708"/>
        <w:jc w:val="both"/>
        <w:rPr>
          <w:rFonts w:cstheme="minorHAnsi"/>
          <w:b/>
          <w:bCs/>
          <w:color w:val="000000"/>
          <w:sz w:val="20"/>
          <w:szCs w:val="20"/>
          <w:lang w:val="es-ES"/>
        </w:rPr>
      </w:pPr>
      <w:r w:rsidRPr="000050DC">
        <w:rPr>
          <w:rFonts w:cstheme="minorHAnsi"/>
          <w:b/>
          <w:sz w:val="20"/>
          <w:szCs w:val="20"/>
          <w:lang w:val="es-ES"/>
        </w:rPr>
        <w:t>Artículo 3.</w:t>
      </w:r>
      <w:r w:rsidRPr="000050DC">
        <w:rPr>
          <w:rFonts w:cstheme="minorHAnsi"/>
          <w:b/>
          <w:bCs/>
          <w:color w:val="000000"/>
          <w:sz w:val="20"/>
          <w:szCs w:val="20"/>
          <w:lang w:val="es-ES"/>
        </w:rPr>
        <w:t xml:space="preserve"> </w:t>
      </w:r>
      <w:r w:rsidRPr="000050DC">
        <w:rPr>
          <w:rFonts w:cstheme="minorHAnsi"/>
          <w:i/>
          <w:iCs/>
          <w:color w:val="000000"/>
          <w:sz w:val="20"/>
          <w:szCs w:val="20"/>
          <w:lang w:val="es-ES"/>
        </w:rPr>
        <w:t>De los principios generales de acción en salud pública.</w:t>
      </w:r>
    </w:p>
    <w:p w14:paraId="2EA5C15D" w14:textId="77777777" w:rsidR="000050DC" w:rsidRDefault="000050DC" w:rsidP="00926134">
      <w:pPr>
        <w:spacing w:after="0" w:line="240" w:lineRule="auto"/>
        <w:ind w:left="708"/>
        <w:jc w:val="both"/>
        <w:rPr>
          <w:rFonts w:cstheme="minorHAnsi"/>
          <w:sz w:val="20"/>
          <w:szCs w:val="20"/>
          <w:lang w:val="es-ES"/>
        </w:rPr>
      </w:pPr>
      <w:r w:rsidRPr="000050DC">
        <w:rPr>
          <w:rFonts w:cstheme="minorHAnsi"/>
          <w:sz w:val="20"/>
          <w:szCs w:val="20"/>
          <w:lang w:val="es-ES"/>
        </w:rPr>
        <w:t>d) Principio de precaución. La existencia de indicios fundados de una posible afectación grave de la salud de la población, aun cuando hubiera incertidumbre científica sobre el carácter del riesgo, determinará la cesación, prohibición o limitación de la actividad sobre la que concurran.</w:t>
      </w:r>
    </w:p>
    <w:p w14:paraId="27F7E1E8" w14:textId="77777777" w:rsidR="00982C71" w:rsidRDefault="00982C71" w:rsidP="00926134">
      <w:pPr>
        <w:spacing w:after="0" w:line="240" w:lineRule="auto"/>
        <w:ind w:left="708"/>
        <w:jc w:val="both"/>
        <w:rPr>
          <w:rFonts w:cstheme="minorHAnsi"/>
          <w:sz w:val="20"/>
          <w:szCs w:val="20"/>
          <w:lang w:val="es-ES"/>
        </w:rPr>
      </w:pPr>
    </w:p>
    <w:p w14:paraId="6BA24D72" w14:textId="77777777" w:rsidR="00982C71" w:rsidRPr="00982C71" w:rsidRDefault="00982C71" w:rsidP="00926134">
      <w:pPr>
        <w:pStyle w:val="Prrafodelista"/>
        <w:numPr>
          <w:ilvl w:val="0"/>
          <w:numId w:val="1"/>
        </w:numPr>
        <w:spacing w:after="0"/>
        <w:rPr>
          <w:rFonts w:cstheme="minorHAnsi"/>
          <w:sz w:val="20"/>
          <w:szCs w:val="20"/>
          <w:lang w:val="es-ES"/>
        </w:rPr>
      </w:pPr>
      <w:r w:rsidRPr="00982C71">
        <w:rPr>
          <w:b/>
        </w:rPr>
        <w:t>L</w:t>
      </w:r>
      <w:r w:rsidR="001F510A">
        <w:rPr>
          <w:b/>
        </w:rPr>
        <w:t>lei 16/2003, de cohesió</w:t>
      </w:r>
      <w:r w:rsidRPr="00982C71">
        <w:rPr>
          <w:b/>
        </w:rPr>
        <w:t xml:space="preserve"> </w:t>
      </w:r>
      <w:r w:rsidR="001F510A">
        <w:rPr>
          <w:b/>
        </w:rPr>
        <w:t>i</w:t>
      </w:r>
      <w:r w:rsidRPr="00982C71">
        <w:rPr>
          <w:b/>
        </w:rPr>
        <w:t xml:space="preserve"> </w:t>
      </w:r>
      <w:r w:rsidR="001F510A">
        <w:rPr>
          <w:b/>
        </w:rPr>
        <w:t>qualitat</w:t>
      </w:r>
      <w:r w:rsidRPr="00982C71">
        <w:rPr>
          <w:b/>
        </w:rPr>
        <w:t xml:space="preserve"> del sistema Nacional de Salu</w:t>
      </w:r>
      <w:r w:rsidR="001F510A">
        <w:rPr>
          <w:b/>
        </w:rPr>
        <w:t>t</w:t>
      </w:r>
      <w:r>
        <w:t xml:space="preserve">, art. 11/2  </w:t>
      </w:r>
      <w:hyperlink r:id="rId8" w:anchor="a11" w:history="1">
        <w:r w:rsidRPr="00982C71">
          <w:rPr>
            <w:rStyle w:val="Hipervnculo"/>
            <w:sz w:val="20"/>
            <w:szCs w:val="20"/>
          </w:rPr>
          <w:t>https://noticias.juridicas.com/base_datos/Admin/l16-2003.html#a11</w:t>
        </w:r>
      </w:hyperlink>
    </w:p>
    <w:p w14:paraId="4C81ED89" w14:textId="77777777" w:rsidR="00317903" w:rsidRDefault="00317903" w:rsidP="00926134">
      <w:pPr>
        <w:autoSpaceDE w:val="0"/>
        <w:autoSpaceDN w:val="0"/>
        <w:adjustRightInd w:val="0"/>
        <w:spacing w:after="0" w:line="240" w:lineRule="auto"/>
        <w:jc w:val="both"/>
        <w:rPr>
          <w:rFonts w:cstheme="minorHAnsi"/>
          <w:sz w:val="20"/>
          <w:szCs w:val="20"/>
          <w:lang w:val="es-ES"/>
        </w:rPr>
      </w:pPr>
    </w:p>
    <w:p w14:paraId="2F827E35" w14:textId="77777777" w:rsidR="00F7596F" w:rsidRPr="00317903" w:rsidRDefault="00317903" w:rsidP="00926134">
      <w:pPr>
        <w:pStyle w:val="Prrafodelista"/>
        <w:numPr>
          <w:ilvl w:val="0"/>
          <w:numId w:val="1"/>
        </w:numPr>
        <w:spacing w:after="0"/>
        <w:rPr>
          <w:b/>
        </w:rPr>
      </w:pPr>
      <w:r w:rsidRPr="00317903">
        <w:rPr>
          <w:rFonts w:ascii="Arial" w:hAnsi="Arial" w:cs="Arial"/>
          <w:color w:val="000000"/>
          <w:sz w:val="24"/>
          <w:szCs w:val="24"/>
          <w:lang w:val="en-US"/>
        </w:rPr>
        <w:t xml:space="preserve"> </w:t>
      </w:r>
      <w:r w:rsidR="001F510A">
        <w:rPr>
          <w:b/>
        </w:rPr>
        <w:t xml:space="preserve">Impacte </w:t>
      </w:r>
      <w:r w:rsidRPr="00317903">
        <w:rPr>
          <w:b/>
        </w:rPr>
        <w:t xml:space="preserve">EMF </w:t>
      </w:r>
      <w:r w:rsidR="001F510A" w:rsidRPr="00317903">
        <w:rPr>
          <w:b/>
        </w:rPr>
        <w:t>límits</w:t>
      </w:r>
      <w:r w:rsidRPr="00317903">
        <w:rPr>
          <w:b/>
        </w:rPr>
        <w:t xml:space="preserve"> on 5G networkroll-o</w:t>
      </w:r>
      <w:r w:rsidRPr="00317903">
        <w:rPr>
          <w:rFonts w:ascii="Arial" w:hAnsi="Arial" w:cs="Arial"/>
          <w:b/>
          <w:color w:val="000000"/>
          <w:lang w:val="en-US"/>
        </w:rPr>
        <w:t>ut</w:t>
      </w:r>
      <w:r>
        <w:rPr>
          <w:rFonts w:ascii="Arial" w:hAnsi="Arial" w:cs="Arial"/>
          <w:color w:val="000000"/>
          <w:sz w:val="72"/>
          <w:szCs w:val="72"/>
          <w:lang w:val="en-US"/>
        </w:rPr>
        <w:t xml:space="preserve"> </w:t>
      </w:r>
      <w:hyperlink r:id="rId9" w:history="1">
        <w:r w:rsidRPr="00AB0AAE">
          <w:rPr>
            <w:rStyle w:val="Hipervnculo"/>
            <w:rFonts w:ascii="Segoe UI" w:hAnsi="Segoe UI" w:cs="Segoe UI"/>
            <w:sz w:val="20"/>
            <w:szCs w:val="20"/>
          </w:rPr>
          <w:t>https://www.itu.int/en/ITU-T/Workshops-and-Seminars/20171205/Documents/S3_Christer_Tornevik.pdf</w:t>
        </w:r>
      </w:hyperlink>
    </w:p>
    <w:sectPr w:rsidR="00F7596F" w:rsidRPr="00317903" w:rsidSect="00F5442E">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A1D39"/>
    <w:multiLevelType w:val="hybridMultilevel"/>
    <w:tmpl w:val="559A8888"/>
    <w:lvl w:ilvl="0" w:tplc="4A646E0E">
      <w:start w:val="1"/>
      <w:numFmt w:val="decimal"/>
      <w:lvlText w:val="(%1)"/>
      <w:lvlJc w:val="left"/>
      <w:pPr>
        <w:ind w:left="786" w:hanging="360"/>
      </w:pPr>
      <w:rPr>
        <w:rFonts w:hint="default"/>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5DD55A8"/>
    <w:multiLevelType w:val="hybridMultilevel"/>
    <w:tmpl w:val="8C669EA4"/>
    <w:lvl w:ilvl="0" w:tplc="C26E734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6FA676EE"/>
    <w:multiLevelType w:val="hybridMultilevel"/>
    <w:tmpl w:val="82600C84"/>
    <w:lvl w:ilvl="0" w:tplc="0D607928">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6F"/>
    <w:rsid w:val="000050DC"/>
    <w:rsid w:val="000D1542"/>
    <w:rsid w:val="001B0D8E"/>
    <w:rsid w:val="001E0F78"/>
    <w:rsid w:val="001F510A"/>
    <w:rsid w:val="002C7005"/>
    <w:rsid w:val="002D1800"/>
    <w:rsid w:val="002D2717"/>
    <w:rsid w:val="00317903"/>
    <w:rsid w:val="003D4687"/>
    <w:rsid w:val="0047021E"/>
    <w:rsid w:val="005500C8"/>
    <w:rsid w:val="006209E5"/>
    <w:rsid w:val="00623876"/>
    <w:rsid w:val="006D3B5F"/>
    <w:rsid w:val="00775BF9"/>
    <w:rsid w:val="00790596"/>
    <w:rsid w:val="007C3F35"/>
    <w:rsid w:val="0082336C"/>
    <w:rsid w:val="00836EF8"/>
    <w:rsid w:val="008847D6"/>
    <w:rsid w:val="00904FF4"/>
    <w:rsid w:val="00910A45"/>
    <w:rsid w:val="00926134"/>
    <w:rsid w:val="00960EDF"/>
    <w:rsid w:val="00982C71"/>
    <w:rsid w:val="009A1105"/>
    <w:rsid w:val="009D1506"/>
    <w:rsid w:val="00A178EC"/>
    <w:rsid w:val="00AA76C0"/>
    <w:rsid w:val="00AC3C24"/>
    <w:rsid w:val="00B14D09"/>
    <w:rsid w:val="00B52847"/>
    <w:rsid w:val="00B63596"/>
    <w:rsid w:val="00B643B0"/>
    <w:rsid w:val="00C11C84"/>
    <w:rsid w:val="00CD0873"/>
    <w:rsid w:val="00CF4B9D"/>
    <w:rsid w:val="00D33041"/>
    <w:rsid w:val="00D4446F"/>
    <w:rsid w:val="00D958CC"/>
    <w:rsid w:val="00DB066E"/>
    <w:rsid w:val="00DD40BE"/>
    <w:rsid w:val="00EA03B3"/>
    <w:rsid w:val="00F5442E"/>
    <w:rsid w:val="00F7596F"/>
    <w:rsid w:val="00FA7D8E"/>
    <w:rsid w:val="00FC04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D81D"/>
  <w15:docId w15:val="{BF8B1CFD-71B7-1343-9056-1E1BBDC0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DF"/>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78EC"/>
    <w:pPr>
      <w:autoSpaceDE w:val="0"/>
      <w:autoSpaceDN w:val="0"/>
      <w:adjustRightInd w:val="0"/>
      <w:spacing w:after="0" w:line="240" w:lineRule="auto"/>
    </w:pPr>
    <w:rPr>
      <w:rFonts w:ascii="Arial Unicode MS" w:eastAsia="Arial Unicode MS" w:cs="Arial Unicode MS"/>
      <w:color w:val="000000"/>
      <w:sz w:val="24"/>
      <w:szCs w:val="24"/>
    </w:rPr>
  </w:style>
  <w:style w:type="paragraph" w:styleId="Prrafodelista">
    <w:name w:val="List Paragraph"/>
    <w:basedOn w:val="Normal"/>
    <w:uiPriority w:val="34"/>
    <w:qFormat/>
    <w:rsid w:val="000050DC"/>
    <w:pPr>
      <w:ind w:left="720"/>
      <w:contextualSpacing/>
    </w:pPr>
  </w:style>
  <w:style w:type="character" w:styleId="Hipervnculo">
    <w:name w:val="Hyperlink"/>
    <w:basedOn w:val="Fuentedeprrafopredeter"/>
    <w:uiPriority w:val="99"/>
    <w:unhideWhenUsed/>
    <w:rsid w:val="00982C71"/>
    <w:rPr>
      <w:color w:val="0000FF" w:themeColor="hyperlink"/>
      <w:u w:val="single"/>
    </w:rPr>
  </w:style>
  <w:style w:type="character" w:styleId="Hipervnculovisitado">
    <w:name w:val="FollowedHyperlink"/>
    <w:basedOn w:val="Fuentedeprrafopredeter"/>
    <w:uiPriority w:val="99"/>
    <w:semiHidden/>
    <w:unhideWhenUsed/>
    <w:rsid w:val="00982C71"/>
    <w:rPr>
      <w:color w:val="800080" w:themeColor="followedHyperlink"/>
      <w:u w:val="single"/>
    </w:rPr>
  </w:style>
  <w:style w:type="paragraph" w:styleId="Textodeglobo">
    <w:name w:val="Balloon Text"/>
    <w:basedOn w:val="Normal"/>
    <w:link w:val="TextodegloboCar"/>
    <w:uiPriority w:val="99"/>
    <w:semiHidden/>
    <w:unhideWhenUsed/>
    <w:rsid w:val="00D330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041"/>
    <w:rPr>
      <w:rFonts w:ascii="Segoe UI"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cias.juridicas.com/base_datos/Admin/l16-2003.html" TargetMode="External"/><Relationship Id="rId3" Type="http://schemas.openxmlformats.org/officeDocument/2006/relationships/styles" Target="styles.xml"/><Relationship Id="rId7" Type="http://schemas.openxmlformats.org/officeDocument/2006/relationships/hyperlink" Target="https://noticias.juridicas.com/base_datos/Admin/l33-20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mc/articles/PMC7016513/%23b1-mco-0-0-19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T/Workshops-and-Seminars/20171205/Documents/S3_Christer_Tornevik.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1AF3-D7E7-4331-8020-E31EC5F2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RESPOSTA INFORME TECNIC</vt:lpstr>
    </vt:vector>
  </TitlesOfParts>
  <Company>Microsoft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RESPOSTA INFORME TECNIC</dc:title>
  <dc:subject>Cerdanyola</dc:subject>
  <dc:creator>Nuria Marin</dc:creator>
  <cp:lastModifiedBy>Maria Miracle Solà</cp:lastModifiedBy>
  <cp:revision>2</cp:revision>
  <cp:lastPrinted>2021-03-14T20:13:00Z</cp:lastPrinted>
  <dcterms:created xsi:type="dcterms:W3CDTF">2021-04-05T20:32:00Z</dcterms:created>
  <dcterms:modified xsi:type="dcterms:W3CDTF">2021-04-05T20:32:00Z</dcterms:modified>
</cp:coreProperties>
</file>